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C06F0" w14:textId="6D5351CD" w:rsidR="00315D4D" w:rsidRPr="00CB4AF3" w:rsidRDefault="00315D4D" w:rsidP="00CB4AF3">
      <w:pPr>
        <w:pStyle w:val="a3"/>
        <w:spacing w:line="240" w:lineRule="auto"/>
        <w:rPr>
          <w:rFonts w:ascii="Palatino Linotype" w:eastAsia="한양신명조" w:hAnsi="Palatino Linotype" w:cs="Times New Roman"/>
          <w:b/>
          <w:sz w:val="24"/>
          <w:szCs w:val="24"/>
        </w:rPr>
      </w:pPr>
      <w:r w:rsidRPr="00CB4AF3">
        <w:rPr>
          <w:rFonts w:ascii="Palatino Linotype" w:eastAsia="한양신명조" w:hAnsi="Palatino Linotype" w:cs="Times New Roman"/>
          <w:b/>
          <w:sz w:val="24"/>
          <w:szCs w:val="24"/>
        </w:rPr>
        <w:t>Supplementary data</w:t>
      </w:r>
      <w:r w:rsidR="0046535B">
        <w:rPr>
          <w:rFonts w:ascii="Palatino Linotype" w:eastAsia="한양신명조" w:hAnsi="Palatino Linotype" w:cs="Times New Roman"/>
          <w:b/>
          <w:sz w:val="24"/>
          <w:szCs w:val="24"/>
        </w:rPr>
        <w:t xml:space="preserve"> </w:t>
      </w:r>
      <w:r w:rsidR="00E1001C">
        <w:rPr>
          <w:rFonts w:ascii="Palatino Linotype" w:eastAsia="한양신명조" w:hAnsi="Palatino Linotype" w:cs="Times New Roman"/>
          <w:b/>
          <w:sz w:val="24"/>
          <w:szCs w:val="24"/>
        </w:rPr>
        <w:t>S</w:t>
      </w:r>
      <w:r w:rsidR="00C34EDA">
        <w:rPr>
          <w:rFonts w:ascii="Palatino Linotype" w:eastAsia="한양신명조" w:hAnsi="Palatino Linotype" w:cs="Times New Roman"/>
          <w:b/>
          <w:sz w:val="24"/>
          <w:szCs w:val="24"/>
        </w:rPr>
        <w:t>5</w:t>
      </w:r>
    </w:p>
    <w:p w14:paraId="17D2E3E8" w14:textId="77777777" w:rsidR="00C75989" w:rsidRPr="00CB4AF3" w:rsidRDefault="00EE07B3" w:rsidP="00CB4AF3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r w:rsidRPr="00C75989">
        <w:rPr>
          <w:rFonts w:eastAsia="한양신명조"/>
          <w:i/>
          <w:szCs w:val="24"/>
        </w:rPr>
        <w:t>Measur</w:t>
      </w:r>
      <w:r w:rsidR="00AA4A04">
        <w:rPr>
          <w:rFonts w:eastAsia="한양신명조"/>
          <w:i/>
          <w:szCs w:val="24"/>
        </w:rPr>
        <w:t xml:space="preserve">ement of </w:t>
      </w:r>
      <w:r w:rsidR="00AA4A04" w:rsidRPr="00AA4A04">
        <w:rPr>
          <w:rFonts w:eastAsia="한양신명조"/>
          <w:i/>
          <w:szCs w:val="24"/>
        </w:rPr>
        <w:t>antimicrobial activity</w:t>
      </w:r>
      <w:r w:rsidR="00C75989" w:rsidRPr="00C75989">
        <w:t xml:space="preserve"> </w:t>
      </w:r>
    </w:p>
    <w:p w14:paraId="107DF009" w14:textId="77777777" w:rsidR="00AA4A04" w:rsidRPr="00AA4A04" w:rsidRDefault="00AA4A04" w:rsidP="00CB4AF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AA4A04">
        <w:rPr>
          <w:rFonts w:ascii="Palatino Linotype" w:eastAsia="한양신명조" w:hAnsi="Palatino Linotype" w:cs="Times New Roman"/>
          <w:szCs w:val="24"/>
        </w:rPr>
        <w:t>We conducte</w:t>
      </w:r>
      <w:r>
        <w:rPr>
          <w:rFonts w:ascii="Palatino Linotype" w:eastAsia="한양신명조" w:hAnsi="Palatino Linotype" w:cs="Times New Roman"/>
          <w:szCs w:val="24"/>
        </w:rPr>
        <w:t>d an Agar-well Diffusion Assay (</w:t>
      </w:r>
      <w:r w:rsidRPr="00AA4A04">
        <w:rPr>
          <w:rFonts w:ascii="Palatino Linotype" w:eastAsia="한양신명조" w:hAnsi="Palatino Linotype" w:cs="Times New Roman"/>
          <w:szCs w:val="24"/>
        </w:rPr>
        <w:t>Ultrasensiti</w:t>
      </w:r>
      <w:r>
        <w:rPr>
          <w:rFonts w:ascii="Palatino Linotype" w:eastAsia="한양신명조" w:hAnsi="Palatino Linotype" w:cs="Times New Roman"/>
          <w:szCs w:val="24"/>
        </w:rPr>
        <w:t>ve Radical Diffusion Assay)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 to assess the antimicrobial activity of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against </w:t>
      </w:r>
      <w:proofErr w:type="spellStart"/>
      <w:r w:rsidRPr="00AA4A04">
        <w:rPr>
          <w:rFonts w:ascii="Palatino Linotype" w:eastAsia="한양신명조" w:hAnsi="Palatino Linotype" w:cs="Times New Roman"/>
          <w:i/>
          <w:szCs w:val="24"/>
        </w:rPr>
        <w:t>Cutibacterium</w:t>
      </w:r>
      <w:proofErr w:type="spellEnd"/>
      <w:r w:rsidRPr="00AA4A04">
        <w:rPr>
          <w:rFonts w:ascii="Palatino Linotype" w:eastAsia="한양신명조" w:hAnsi="Palatino Linotype" w:cs="Times New Roman"/>
          <w:i/>
          <w:szCs w:val="24"/>
        </w:rPr>
        <w:t xml:space="preserve"> acnes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. The results were compared to a control group treated with vehicle (absolute ethanol), with ampicillin serving as a positive control group. Additionally, we compared the effect of one of the major components of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, </w:t>
      </w:r>
      <w:r w:rsidRPr="00AA4A04">
        <w:rPr>
          <w:rFonts w:ascii="Palatino Linotype" w:eastAsia="한양신명조" w:hAnsi="Palatino Linotype" w:cs="Times New Roman"/>
          <w:i/>
          <w:szCs w:val="24"/>
        </w:rPr>
        <w:t xml:space="preserve">Quercus </w:t>
      </w:r>
      <w:proofErr w:type="spellStart"/>
      <w:r w:rsidR="000F7371" w:rsidRPr="000F7371">
        <w:rPr>
          <w:rFonts w:ascii="Palatino Linotype" w:eastAsia="한양신명조" w:hAnsi="Palatino Linotype" w:cs="Times New Roman"/>
          <w:i/>
          <w:szCs w:val="24"/>
        </w:rPr>
        <w:t>acutissima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bark extract, with the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>-treated group.</w:t>
      </w:r>
    </w:p>
    <w:p w14:paraId="4A6E37F3" w14:textId="77777777" w:rsidR="00AA4A04" w:rsidRPr="00AA4A04" w:rsidRDefault="00AA4A04" w:rsidP="00CB4AF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AA4A04">
        <w:rPr>
          <w:rFonts w:ascii="Palatino Linotype" w:eastAsia="한양신명조" w:hAnsi="Palatino Linotype" w:cs="Times New Roman"/>
          <w:szCs w:val="24"/>
        </w:rPr>
        <w:t xml:space="preserve">Briefly, </w:t>
      </w:r>
      <w:r w:rsidRPr="00AA4A04">
        <w:rPr>
          <w:rFonts w:ascii="Palatino Linotype" w:eastAsia="한양신명조" w:hAnsi="Palatino Linotype" w:cs="Times New Roman"/>
          <w:i/>
          <w:szCs w:val="24"/>
        </w:rPr>
        <w:t>C. acnes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 preserved in Reinforced Clostridial Media (RCM, Merck, Germany) was activated 48 hours prior to the experiment. After 48 hours of cultivation, the culture was diluted to achieve a turbidity of 84% at 600</w:t>
      </w:r>
      <w:r>
        <w:rPr>
          <w:rFonts w:ascii="Palatino Linotype" w:eastAsia="한양신명조" w:hAnsi="Palatino Linotype" w:cs="Times New Roman"/>
          <w:szCs w:val="24"/>
        </w:rPr>
        <w:t xml:space="preserve"> </w:t>
      </w:r>
      <w:r w:rsidRPr="00AA4A04">
        <w:rPr>
          <w:rFonts w:ascii="Palatino Linotype" w:eastAsia="한양신명조" w:hAnsi="Palatino Linotype" w:cs="Times New Roman"/>
          <w:szCs w:val="24"/>
        </w:rPr>
        <w:t>nm using colorimetry and was ultimately adjusted to a concentration of 5 x 10</w:t>
      </w:r>
      <w:r w:rsidRPr="00AA4A04">
        <w:rPr>
          <w:rFonts w:ascii="Palatino Linotype" w:eastAsia="한양신명조" w:hAnsi="Palatino Linotype" w:cs="Times New Roman"/>
          <w:szCs w:val="24"/>
          <w:vertAlign w:val="superscript"/>
        </w:rPr>
        <w:t>4</w:t>
      </w:r>
      <w:r>
        <w:rPr>
          <w:rFonts w:ascii="Palatino Linotype" w:eastAsia="한양신명조" w:hAnsi="Palatino Linotype" w:cs="Times New Roman"/>
          <w:szCs w:val="24"/>
        </w:rPr>
        <w:t xml:space="preserve"> CFU/ml for further use.</w:t>
      </w:r>
      <w:r>
        <w:rPr>
          <w:rFonts w:ascii="Palatino Linotype" w:eastAsia="한양신명조" w:hAnsi="Palatino Linotype" w:cs="Times New Roman" w:hint="eastAsia"/>
          <w:szCs w:val="24"/>
        </w:rPr>
        <w:t xml:space="preserve"> 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After preparing agar plates in the lower layer inoculated with the bacterial strain, wells for sample treatment were created using a tip connected to a vacuum. Subsequently, 10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μL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of each sample at three different concentrations (Stock solution, 50%, 10%) and the vehicle were injected into each well. Top agar was then applied over the prepared plates. The plates were incubated at 35°C for 24 hours, and the diameter of the clear zones (mm) formed was measured using a vernier caliper</w:t>
      </w:r>
      <w:r>
        <w:rPr>
          <w:rFonts w:ascii="Palatino Linotype" w:eastAsia="한양신명조" w:hAnsi="Palatino Linotype" w:cs="Times New Roman"/>
          <w:szCs w:val="24"/>
        </w:rPr>
        <w:t>s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 (Mitutoyo Corp., Kanagawa, Japan) to validate the antimicrobial activity of each substance. Experimental results were presented as the mean ± standard deviation using data obtained from three or more repetitions.</w:t>
      </w:r>
    </w:p>
    <w:p w14:paraId="01654557" w14:textId="77777777" w:rsidR="00C75989" w:rsidRPr="00CB4AF3" w:rsidRDefault="00AA4A04" w:rsidP="00CB4AF3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proofErr w:type="spellStart"/>
      <w:r w:rsidRPr="00AA4A04">
        <w:rPr>
          <w:rFonts w:eastAsia="한양신명조"/>
          <w:i/>
          <w:szCs w:val="24"/>
        </w:rPr>
        <w:t>CeBiNES</w:t>
      </w:r>
      <w:proofErr w:type="spellEnd"/>
      <w:r>
        <w:rPr>
          <w:rFonts w:eastAsia="한양신명조"/>
          <w:i/>
          <w:szCs w:val="24"/>
        </w:rPr>
        <w:t xml:space="preserve"> </w:t>
      </w:r>
      <w:r w:rsidRPr="00AA4A04">
        <w:rPr>
          <w:rFonts w:eastAsia="한양신명조"/>
          <w:i/>
          <w:szCs w:val="24"/>
        </w:rPr>
        <w:t>exhibited a higher antimicrobial activity than the positive control group with ampicillin</w:t>
      </w:r>
    </w:p>
    <w:p w14:paraId="2521C8D7" w14:textId="77777777" w:rsidR="00A92A67" w:rsidRPr="00AA4A04" w:rsidRDefault="00AA4A04" w:rsidP="00C75989">
      <w:pPr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 w:rsidRPr="00AA4A04">
        <w:rPr>
          <w:rFonts w:ascii="Palatino Linotype" w:eastAsia="한양신명조" w:hAnsi="Palatino Linotype" w:cs="Times New Roman"/>
          <w:szCs w:val="24"/>
        </w:rPr>
        <w:t xml:space="preserve">When the antimicrobial activity of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at three different concentrations was compared to that of 0.01 mg/ml ampicillin and </w:t>
      </w:r>
      <w:r w:rsidR="000F7371">
        <w:rPr>
          <w:rFonts w:ascii="Palatino Linotype" w:eastAsia="한양신명조" w:hAnsi="Palatino Linotype" w:cs="Times New Roman"/>
          <w:i/>
          <w:szCs w:val="24"/>
        </w:rPr>
        <w:t>Q.</w:t>
      </w:r>
      <w:r w:rsidRPr="00AA4A04">
        <w:rPr>
          <w:rFonts w:ascii="Palatino Linotype" w:eastAsia="한양신명조" w:hAnsi="Palatino Linotype" w:cs="Times New Roman"/>
          <w:i/>
          <w:szCs w:val="24"/>
        </w:rPr>
        <w:t xml:space="preserve"> </w:t>
      </w:r>
      <w:proofErr w:type="spellStart"/>
      <w:r w:rsidR="000F7371" w:rsidRPr="000F7371">
        <w:rPr>
          <w:rFonts w:ascii="Palatino Linotype" w:eastAsia="한양신명조" w:hAnsi="Palatino Linotype" w:cs="Times New Roman"/>
          <w:i/>
          <w:szCs w:val="24"/>
        </w:rPr>
        <w:t>acutissima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bark extract, </w:t>
      </w:r>
      <w:proofErr w:type="spellStart"/>
      <w:r w:rsidRPr="00AA4A04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(16.29 ± 0.38 mm) exhibited a higher antimicrobial activity than the positive control group with ampicillin</w:t>
      </w:r>
      <w:r>
        <w:rPr>
          <w:rFonts w:ascii="Palatino Linotype" w:eastAsia="한양신명조" w:hAnsi="Palatino Linotype" w:cs="Times New Roman"/>
          <w:szCs w:val="24"/>
        </w:rPr>
        <w:t xml:space="preserve"> (</w:t>
      </w:r>
      <w:r w:rsidRPr="00AA4A04">
        <w:rPr>
          <w:rFonts w:ascii="Palatino Linotype" w:eastAsia="한양신명조" w:hAnsi="Palatino Linotype" w:cs="Times New Roman"/>
          <w:i/>
          <w:szCs w:val="24"/>
        </w:rPr>
        <w:t>P</w:t>
      </w:r>
      <w:r>
        <w:rPr>
          <w:rFonts w:ascii="Palatino Linotype" w:eastAsia="한양신명조" w:hAnsi="Palatino Linotype" w:cs="Times New Roman"/>
          <w:szCs w:val="24"/>
        </w:rPr>
        <w:t xml:space="preserve"> &gt; 0.05</w:t>
      </w:r>
      <w:r w:rsidRPr="00AA4A04">
        <w:rPr>
          <w:rFonts w:ascii="Palatino Linotype" w:eastAsia="한양신명조" w:hAnsi="Palatino Linotype" w:cs="Times New Roman"/>
          <w:szCs w:val="24"/>
        </w:rPr>
        <w:t>)</w:t>
      </w:r>
      <w:r>
        <w:rPr>
          <w:rFonts w:ascii="Palatino Linotype" w:eastAsia="한양신명조" w:hAnsi="Palatino Linotype" w:cs="Times New Roman"/>
          <w:szCs w:val="24"/>
        </w:rPr>
        <w:t xml:space="preserve"> and </w:t>
      </w:r>
      <w:r w:rsidR="000F7371">
        <w:rPr>
          <w:rFonts w:ascii="Palatino Linotype" w:eastAsia="한양신명조" w:hAnsi="Palatino Linotype" w:cs="Times New Roman"/>
          <w:i/>
          <w:szCs w:val="24"/>
        </w:rPr>
        <w:t>Q.</w:t>
      </w:r>
      <w:r w:rsidRPr="00AA4A04">
        <w:rPr>
          <w:rFonts w:ascii="Palatino Linotype" w:eastAsia="한양신명조" w:hAnsi="Palatino Linotype" w:cs="Times New Roman"/>
          <w:i/>
          <w:szCs w:val="24"/>
        </w:rPr>
        <w:t xml:space="preserve"> </w:t>
      </w:r>
      <w:proofErr w:type="spellStart"/>
      <w:r w:rsidR="000F7371" w:rsidRPr="000F7371">
        <w:rPr>
          <w:rFonts w:ascii="Palatino Linotype" w:eastAsia="한양신명조" w:hAnsi="Palatino Linotype" w:cs="Times New Roman"/>
          <w:i/>
          <w:szCs w:val="24"/>
        </w:rPr>
        <w:t>acutissima</w:t>
      </w:r>
      <w:proofErr w:type="spellEnd"/>
      <w:r w:rsidRPr="00AA4A04">
        <w:rPr>
          <w:rFonts w:ascii="Palatino Linotype" w:eastAsia="한양신명조" w:hAnsi="Palatino Linotype" w:cs="Times New Roman"/>
          <w:szCs w:val="24"/>
        </w:rPr>
        <w:t xml:space="preserve"> bark extract</w:t>
      </w:r>
      <w:r>
        <w:rPr>
          <w:rFonts w:ascii="Palatino Linotype" w:eastAsia="한양신명조" w:hAnsi="Palatino Linotype" w:cs="Times New Roman"/>
          <w:szCs w:val="24"/>
        </w:rPr>
        <w:t xml:space="preserve"> 10% group (</w:t>
      </w:r>
      <w:r w:rsidRPr="00AA4A04">
        <w:rPr>
          <w:rFonts w:ascii="Palatino Linotype" w:eastAsia="한양신명조" w:hAnsi="Palatino Linotype" w:cs="Times New Roman"/>
          <w:i/>
          <w:szCs w:val="24"/>
        </w:rPr>
        <w:t>P</w:t>
      </w:r>
      <w:r>
        <w:rPr>
          <w:rFonts w:ascii="Palatino Linotype" w:eastAsia="한양신명조" w:hAnsi="Palatino Linotype" w:cs="Times New Roman"/>
          <w:szCs w:val="24"/>
        </w:rPr>
        <w:t xml:space="preserve"> &gt; 0.05</w:t>
      </w:r>
      <w:r w:rsidRPr="00AA4A04">
        <w:rPr>
          <w:rFonts w:ascii="Palatino Linotype" w:eastAsia="한양신명조" w:hAnsi="Palatino Linotype" w:cs="Times New Roman"/>
          <w:szCs w:val="24"/>
        </w:rPr>
        <w:t>)</w:t>
      </w:r>
      <w:r>
        <w:rPr>
          <w:rFonts w:ascii="Palatino Linotype" w:eastAsia="한양신명조" w:hAnsi="Palatino Linotype" w:cs="Times New Roman"/>
          <w:szCs w:val="24"/>
        </w:rPr>
        <w:t xml:space="preserve"> (Table S2)</w:t>
      </w:r>
      <w:r w:rsidRPr="00AA4A04">
        <w:rPr>
          <w:rFonts w:ascii="Palatino Linotype" w:eastAsia="한양신명조" w:hAnsi="Palatino Linotype" w:cs="Times New Roman"/>
          <w:szCs w:val="24"/>
        </w:rPr>
        <w:t xml:space="preserve">. </w:t>
      </w:r>
    </w:p>
    <w:p w14:paraId="1C22965B" w14:textId="3CBEAFFB" w:rsidR="00AA4A04" w:rsidRPr="003A5CA8" w:rsidRDefault="00A92A67" w:rsidP="00AA4A04">
      <w:pPr>
        <w:rPr>
          <w:rFonts w:ascii="Palatino Linotype" w:eastAsia="한양신명조" w:hAnsi="Palatino Linotype" w:cs="Times New Roman"/>
          <w:b/>
          <w:i/>
          <w:iCs/>
          <w:szCs w:val="20"/>
        </w:rPr>
      </w:pPr>
      <w:r w:rsidRPr="00C75989">
        <w:rPr>
          <w:rFonts w:ascii="Palatino Linotype" w:eastAsia="한양신명조" w:hAnsi="Palatino Linotype" w:cs="Times New Roman"/>
          <w:szCs w:val="24"/>
        </w:rPr>
        <w:t xml:space="preserve"> </w:t>
      </w:r>
      <w:r w:rsidRPr="00C75989">
        <w:rPr>
          <w:rFonts w:ascii="Palatino Linotype" w:hAnsi="Palatino Linotype" w:cs="Times New Roman"/>
          <w:sz w:val="16"/>
        </w:rPr>
        <w:t xml:space="preserve"> </w:t>
      </w:r>
      <w:r w:rsidR="00AA4A04" w:rsidRPr="003A5CA8">
        <w:rPr>
          <w:rFonts w:ascii="Palatino Linotype" w:hAnsi="Palatino Linotype" w:cs="Times New Roman"/>
          <w:b/>
          <w:szCs w:val="20"/>
        </w:rPr>
        <w:t xml:space="preserve">Table </w:t>
      </w:r>
      <w:r w:rsidR="004B2C92">
        <w:rPr>
          <w:rFonts w:ascii="Palatino Linotype" w:hAnsi="Palatino Linotype" w:cs="Times New Roman"/>
          <w:b/>
          <w:szCs w:val="20"/>
        </w:rPr>
        <w:t>S</w:t>
      </w:r>
      <w:r w:rsidR="00C34EDA">
        <w:rPr>
          <w:rFonts w:ascii="Palatino Linotype" w:hAnsi="Palatino Linotype" w:cs="Times New Roman"/>
          <w:b/>
          <w:szCs w:val="20"/>
        </w:rPr>
        <w:t>3</w:t>
      </w:r>
      <w:r w:rsidR="00AA4A04" w:rsidRPr="003A5CA8">
        <w:rPr>
          <w:rFonts w:ascii="Palatino Linotype" w:hAnsi="Palatino Linotype" w:cs="Times New Roman"/>
          <w:b/>
          <w:szCs w:val="20"/>
        </w:rPr>
        <w:t xml:space="preserve">. </w:t>
      </w:r>
      <w:r w:rsidR="00E67D2D" w:rsidRPr="00E67D2D">
        <w:rPr>
          <w:rFonts w:ascii="Palatino Linotype" w:hAnsi="Palatino Linotype" w:cs="Times New Roman"/>
          <w:szCs w:val="20"/>
        </w:rPr>
        <w:t xml:space="preserve">Antimicrobial effect of </w:t>
      </w:r>
      <w:proofErr w:type="spellStart"/>
      <w:r w:rsidR="00E67D2D" w:rsidRPr="00E67D2D">
        <w:rPr>
          <w:rFonts w:ascii="Palatino Linotype" w:hAnsi="Palatino Linotype" w:cs="Times New Roman"/>
          <w:szCs w:val="20"/>
        </w:rPr>
        <w:t>CeBiNES</w:t>
      </w:r>
      <w:proofErr w:type="spellEnd"/>
      <w:r w:rsidR="00E67D2D" w:rsidRPr="00E67D2D">
        <w:rPr>
          <w:rFonts w:ascii="Palatino Linotype" w:hAnsi="Palatino Linotype" w:cs="Times New Roman"/>
          <w:szCs w:val="20"/>
        </w:rPr>
        <w:t xml:space="preserve"> on </w:t>
      </w:r>
      <w:proofErr w:type="spellStart"/>
      <w:r w:rsidR="00E67D2D" w:rsidRPr="00E67D2D">
        <w:rPr>
          <w:rFonts w:ascii="Palatino Linotype" w:hAnsi="Palatino Linotype" w:cs="Times New Roman"/>
          <w:i/>
          <w:szCs w:val="20"/>
        </w:rPr>
        <w:t>Cutibacterium</w:t>
      </w:r>
      <w:proofErr w:type="spellEnd"/>
      <w:r w:rsidR="00E67D2D" w:rsidRPr="00E67D2D">
        <w:rPr>
          <w:rFonts w:ascii="Palatino Linotype" w:hAnsi="Palatino Linotype" w:cs="Times New Roman"/>
          <w:i/>
          <w:szCs w:val="20"/>
        </w:rPr>
        <w:t xml:space="preserve"> acnes</w:t>
      </w: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  <w:gridCol w:w="2126"/>
        <w:gridCol w:w="1938"/>
      </w:tblGrid>
      <w:tr w:rsidR="00E67D2D" w:rsidRPr="00C638FD" w14:paraId="1F359B45" w14:textId="77777777" w:rsidTr="00C07136">
        <w:trPr>
          <w:trHeight w:val="208"/>
        </w:trPr>
        <w:tc>
          <w:tcPr>
            <w:tcW w:w="2835" w:type="dxa"/>
            <w:tcBorders>
              <w:bottom w:val="nil"/>
            </w:tcBorders>
          </w:tcPr>
          <w:p w14:paraId="75EEF384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</w:p>
        </w:tc>
        <w:tc>
          <w:tcPr>
            <w:tcW w:w="6191" w:type="dxa"/>
            <w:gridSpan w:val="3"/>
          </w:tcPr>
          <w:p w14:paraId="6B00F7F6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Diameter of inhibition (mm)</w:t>
            </w:r>
          </w:p>
        </w:tc>
      </w:tr>
      <w:tr w:rsidR="00E67D2D" w:rsidRPr="00C638FD" w14:paraId="1843AC2C" w14:textId="77777777" w:rsidTr="00C07136">
        <w:tc>
          <w:tcPr>
            <w:tcW w:w="2835" w:type="dxa"/>
            <w:tcBorders>
              <w:top w:val="nil"/>
              <w:bottom w:val="double" w:sz="4" w:space="0" w:color="auto"/>
            </w:tcBorders>
          </w:tcPr>
          <w:p w14:paraId="66926621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14:paraId="1964E572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Stock solution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4EC2F7A4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50%</w:t>
            </w:r>
          </w:p>
        </w:tc>
        <w:tc>
          <w:tcPr>
            <w:tcW w:w="1938" w:type="dxa"/>
            <w:tcBorders>
              <w:bottom w:val="double" w:sz="4" w:space="0" w:color="auto"/>
            </w:tcBorders>
            <w:vAlign w:val="center"/>
          </w:tcPr>
          <w:p w14:paraId="28A33562" w14:textId="77777777" w:rsidR="00E67D2D" w:rsidRPr="00E67D2D" w:rsidRDefault="00E67D2D" w:rsidP="00C07136">
            <w:pPr>
              <w:wordWrap/>
              <w:adjustRightInd w:val="0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10%</w:t>
            </w:r>
          </w:p>
        </w:tc>
      </w:tr>
      <w:tr w:rsidR="00E67D2D" w:rsidRPr="00C638FD" w14:paraId="137C2F4F" w14:textId="77777777" w:rsidTr="00C07136">
        <w:trPr>
          <w:trHeight w:val="303"/>
        </w:trPr>
        <w:tc>
          <w:tcPr>
            <w:tcW w:w="2835" w:type="dxa"/>
          </w:tcPr>
          <w:p w14:paraId="7730D6F8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proofErr w:type="spellStart"/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CeBiNES</w:t>
            </w:r>
            <w:proofErr w:type="spellEnd"/>
          </w:p>
        </w:tc>
        <w:tc>
          <w:tcPr>
            <w:tcW w:w="2127" w:type="dxa"/>
            <w:vAlign w:val="center"/>
          </w:tcPr>
          <w:p w14:paraId="27B3D0C5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16.29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0.38</w:t>
            </w:r>
          </w:p>
        </w:tc>
        <w:tc>
          <w:tcPr>
            <w:tcW w:w="2126" w:type="dxa"/>
            <w:vAlign w:val="center"/>
          </w:tcPr>
          <w:p w14:paraId="385CE5F7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13.42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0.09</w:t>
            </w:r>
          </w:p>
        </w:tc>
        <w:tc>
          <w:tcPr>
            <w:tcW w:w="1938" w:type="dxa"/>
            <w:vAlign w:val="center"/>
          </w:tcPr>
          <w:p w14:paraId="5EEF0ABF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5.99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0.59</w:t>
            </w:r>
          </w:p>
        </w:tc>
      </w:tr>
      <w:tr w:rsidR="00E67D2D" w:rsidRPr="00C638FD" w14:paraId="11B9CCA1" w14:textId="77777777" w:rsidTr="00C07136">
        <w:trPr>
          <w:trHeight w:val="272"/>
        </w:trPr>
        <w:tc>
          <w:tcPr>
            <w:tcW w:w="2835" w:type="dxa"/>
          </w:tcPr>
          <w:p w14:paraId="1E2FAF16" w14:textId="77777777" w:rsidR="00E67D2D" w:rsidRPr="00E67D2D" w:rsidRDefault="000F7371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>
              <w:rPr>
                <w:rFonts w:ascii="Palatino Linotype" w:eastAsia="함초롬바탕" w:hAnsi="Palatino Linotype" w:cs="Times New Roman"/>
                <w:i/>
                <w:kern w:val="0"/>
                <w:szCs w:val="16"/>
              </w:rPr>
              <w:t xml:space="preserve">Q. </w:t>
            </w:r>
            <w:proofErr w:type="spellStart"/>
            <w:r w:rsidRPr="000F7371">
              <w:rPr>
                <w:rFonts w:ascii="Palatino Linotype" w:eastAsia="함초롬바탕" w:hAnsi="Palatino Linotype" w:cs="Times New Roman"/>
                <w:i/>
                <w:kern w:val="0"/>
                <w:szCs w:val="16"/>
              </w:rPr>
              <w:t>acutissima</w:t>
            </w:r>
            <w:proofErr w:type="spellEnd"/>
            <w:r w:rsidR="00E67D2D" w:rsidRPr="00E67D2D">
              <w:rPr>
                <w:rFonts w:ascii="Palatino Linotype" w:eastAsia="함초롬바탕" w:hAnsi="Palatino Linotype" w:cs="Times New Roman"/>
                <w:kern w:val="0"/>
                <w:szCs w:val="16"/>
              </w:rPr>
              <w:t xml:space="preserve"> bark extract</w:t>
            </w:r>
          </w:p>
        </w:tc>
        <w:tc>
          <w:tcPr>
            <w:tcW w:w="2127" w:type="dxa"/>
            <w:vAlign w:val="center"/>
          </w:tcPr>
          <w:p w14:paraId="265C9A1D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17.86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0.32</w:t>
            </w:r>
          </w:p>
        </w:tc>
        <w:tc>
          <w:tcPr>
            <w:tcW w:w="2126" w:type="dxa"/>
            <w:vAlign w:val="center"/>
          </w:tcPr>
          <w:p w14:paraId="49910A13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14.19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0.98</w:t>
            </w:r>
          </w:p>
        </w:tc>
        <w:tc>
          <w:tcPr>
            <w:tcW w:w="1938" w:type="dxa"/>
            <w:vAlign w:val="center"/>
          </w:tcPr>
          <w:p w14:paraId="5C3C55F0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6.39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0.20</w:t>
            </w:r>
          </w:p>
        </w:tc>
      </w:tr>
      <w:tr w:rsidR="00E67D2D" w:rsidRPr="00C638FD" w14:paraId="5293B145" w14:textId="77777777" w:rsidTr="00C07136">
        <w:trPr>
          <w:trHeight w:val="247"/>
        </w:trPr>
        <w:tc>
          <w:tcPr>
            <w:tcW w:w="2835" w:type="dxa"/>
          </w:tcPr>
          <w:p w14:paraId="1FEBFA4E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Ampicillin (0.01 mg/ml)</w:t>
            </w:r>
          </w:p>
        </w:tc>
        <w:tc>
          <w:tcPr>
            <w:tcW w:w="2127" w:type="dxa"/>
            <w:vAlign w:val="center"/>
          </w:tcPr>
          <w:p w14:paraId="3AEE568E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  <w:r w:rsidRPr="00E67D2D">
              <w:rPr>
                <w:rFonts w:ascii="Palatino Linotype" w:eastAsia="함초롬바탕" w:hAnsi="Palatino Linotype" w:cs="Times New Roman"/>
                <w:kern w:val="0"/>
                <w:szCs w:val="20"/>
              </w:rPr>
              <w:t>14.45</w:t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sym w:font="Symbol" w:char="F0B1"/>
            </w:r>
            <w:r w:rsidRPr="00E67D2D">
              <w:rPr>
                <w:rFonts w:ascii="Palatino Linotype" w:eastAsia="함초롬바탕" w:hAnsi="Palatino Linotype" w:cs="Times New Roman"/>
                <w:color w:val="000000"/>
                <w:kern w:val="0"/>
                <w:szCs w:val="20"/>
              </w:rPr>
              <w:t>1.15</w:t>
            </w:r>
          </w:p>
        </w:tc>
        <w:tc>
          <w:tcPr>
            <w:tcW w:w="2126" w:type="dxa"/>
            <w:vAlign w:val="center"/>
          </w:tcPr>
          <w:p w14:paraId="647B65B8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6CFA1F67" w14:textId="77777777" w:rsidR="00E67D2D" w:rsidRPr="00E67D2D" w:rsidRDefault="00E67D2D" w:rsidP="00C07136">
            <w:pPr>
              <w:wordWrap/>
              <w:adjustRightInd w:val="0"/>
              <w:spacing w:line="276" w:lineRule="auto"/>
              <w:jc w:val="center"/>
              <w:rPr>
                <w:rFonts w:ascii="Palatino Linotype" w:eastAsia="함초롬바탕" w:hAnsi="Palatino Linotype" w:cs="Times New Roman"/>
                <w:kern w:val="0"/>
                <w:szCs w:val="20"/>
              </w:rPr>
            </w:pPr>
          </w:p>
        </w:tc>
      </w:tr>
    </w:tbl>
    <w:p w14:paraId="070491D7" w14:textId="77777777" w:rsidR="00315D4D" w:rsidRPr="00AA4A04" w:rsidRDefault="00315D4D" w:rsidP="00A92A67">
      <w:pPr>
        <w:spacing w:line="480" w:lineRule="auto"/>
        <w:ind w:firstLine="400"/>
        <w:rPr>
          <w:rFonts w:ascii="Palatino Linotype" w:hAnsi="Palatino Linotype" w:cs="Times New Roman"/>
          <w:sz w:val="16"/>
        </w:rPr>
      </w:pPr>
    </w:p>
    <w:p w14:paraId="555B9C8D" w14:textId="77777777" w:rsidR="00315D4D" w:rsidRPr="00C75989" w:rsidRDefault="00315D4D" w:rsidP="00C75989">
      <w:pPr>
        <w:pStyle w:val="a3"/>
        <w:spacing w:line="240" w:lineRule="auto"/>
        <w:rPr>
          <w:rFonts w:ascii="Palatino Linotype" w:hAnsi="Palatino Linotype" w:cs="Times New Roman"/>
          <w:sz w:val="16"/>
        </w:rPr>
      </w:pPr>
    </w:p>
    <w:sectPr w:rsidR="00315D4D" w:rsidRPr="00C7598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EBAAB" w14:textId="77777777" w:rsidR="005A49A2" w:rsidRDefault="005A49A2" w:rsidP="00315D4D">
      <w:pPr>
        <w:spacing w:after="0" w:line="240" w:lineRule="auto"/>
      </w:pPr>
      <w:r>
        <w:separator/>
      </w:r>
    </w:p>
  </w:endnote>
  <w:endnote w:type="continuationSeparator" w:id="0">
    <w:p w14:paraId="60FCC3F4" w14:textId="77777777" w:rsidR="005A49A2" w:rsidRDefault="005A49A2" w:rsidP="0031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2F201" w14:textId="77777777" w:rsidR="005A49A2" w:rsidRDefault="005A49A2" w:rsidP="00315D4D">
      <w:pPr>
        <w:spacing w:after="0" w:line="240" w:lineRule="auto"/>
      </w:pPr>
      <w:r>
        <w:separator/>
      </w:r>
    </w:p>
  </w:footnote>
  <w:footnote w:type="continuationSeparator" w:id="0">
    <w:p w14:paraId="5BB1941A" w14:textId="77777777" w:rsidR="005A49A2" w:rsidRDefault="005A49A2" w:rsidP="00315D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7B3"/>
    <w:rsid w:val="000B09F3"/>
    <w:rsid w:val="000F7371"/>
    <w:rsid w:val="0029394D"/>
    <w:rsid w:val="003036B6"/>
    <w:rsid w:val="00315D4D"/>
    <w:rsid w:val="0044189B"/>
    <w:rsid w:val="0046535B"/>
    <w:rsid w:val="004B2C92"/>
    <w:rsid w:val="00572314"/>
    <w:rsid w:val="005A49A2"/>
    <w:rsid w:val="005D0AF4"/>
    <w:rsid w:val="005E25C3"/>
    <w:rsid w:val="00657D50"/>
    <w:rsid w:val="0082706F"/>
    <w:rsid w:val="00A23003"/>
    <w:rsid w:val="00A92A67"/>
    <w:rsid w:val="00AA4A04"/>
    <w:rsid w:val="00B250C0"/>
    <w:rsid w:val="00BD5899"/>
    <w:rsid w:val="00C34EDA"/>
    <w:rsid w:val="00C75989"/>
    <w:rsid w:val="00CB4AF3"/>
    <w:rsid w:val="00CB6125"/>
    <w:rsid w:val="00D4406F"/>
    <w:rsid w:val="00DB0D93"/>
    <w:rsid w:val="00E1001C"/>
    <w:rsid w:val="00E66F42"/>
    <w:rsid w:val="00E67D2D"/>
    <w:rsid w:val="00EE07B3"/>
    <w:rsid w:val="00F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AB5B4"/>
  <w15:chartTrackingRefBased/>
  <w15:docId w15:val="{768F6626-6355-4AAC-88D2-99C1AA15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E07B3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15D4D"/>
  </w:style>
  <w:style w:type="paragraph" w:styleId="a5">
    <w:name w:val="footer"/>
    <w:basedOn w:val="a"/>
    <w:link w:val="Char0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15D4D"/>
  </w:style>
  <w:style w:type="paragraph" w:customStyle="1" w:styleId="MDPI23heading3">
    <w:name w:val="MDPI_2.3_heading3"/>
    <w:qFormat/>
    <w:rsid w:val="00CB4AF3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table" w:styleId="a6">
    <w:name w:val="Table Grid"/>
    <w:basedOn w:val="a1"/>
    <w:uiPriority w:val="39"/>
    <w:rsid w:val="00E67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2022-07-28T10:29:00Z</dcterms:created>
  <dcterms:modified xsi:type="dcterms:W3CDTF">2025-08-04T06:49:00Z</dcterms:modified>
</cp:coreProperties>
</file>